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25681B">
      <w:pPr>
        <w:spacing w:before="120" w:beforeLines="50" w:after="120" w:afterLines="50" w:line="380" w:lineRule="exact"/>
        <w:jc w:val="center"/>
        <w:textAlignment w:val="baseline"/>
        <w:rPr>
          <w:rStyle w:val="9"/>
          <w:rFonts w:hint="default"/>
          <w:sz w:val="30"/>
          <w:szCs w:val="30"/>
          <w:lang w:val="en-US" w:eastAsia="zh-CN"/>
        </w:rPr>
      </w:pPr>
      <w:bookmarkStart w:id="0" w:name="_Toc3461"/>
      <w:r>
        <w:rPr>
          <w:rStyle w:val="9"/>
          <w:rFonts w:hint="eastAsia"/>
          <w:sz w:val="30"/>
          <w:szCs w:val="30"/>
          <w:lang w:val="en-US" w:eastAsia="zh-CN"/>
        </w:rPr>
        <w:t>废焊带汇流带处置明细表</w:t>
      </w:r>
    </w:p>
    <w:bookmarkEnd w:id="0"/>
    <w:tbl>
      <w:tblPr>
        <w:tblStyle w:val="7"/>
        <w:tblW w:w="4996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7"/>
        <w:gridCol w:w="2803"/>
        <w:gridCol w:w="2557"/>
        <w:gridCol w:w="2480"/>
        <w:gridCol w:w="3036"/>
      </w:tblGrid>
      <w:tr w14:paraId="3F849A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FBF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1" w:name="_GoBack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物品描述</w:t>
            </w:r>
          </w:p>
        </w:tc>
        <w:tc>
          <w:tcPr>
            <w:tcW w:w="9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668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物料编码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71A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基地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B3D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毛重（千克）</w:t>
            </w:r>
          </w:p>
        </w:tc>
        <w:tc>
          <w:tcPr>
            <w:tcW w:w="10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BCD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净重（千克）</w:t>
            </w:r>
          </w:p>
        </w:tc>
      </w:tr>
      <w:tr w14:paraId="6BFE86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9EE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废焊带汇流带</w:t>
            </w:r>
          </w:p>
        </w:tc>
        <w:tc>
          <w:tcPr>
            <w:tcW w:w="9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598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RWM0000000000000000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F16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衡水发展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7F0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2759.75 </w:t>
            </w:r>
          </w:p>
        </w:tc>
        <w:tc>
          <w:tcPr>
            <w:tcW w:w="10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F26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2383.50 </w:t>
            </w:r>
          </w:p>
        </w:tc>
      </w:tr>
      <w:tr w14:paraId="007B7B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5E1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废焊带汇流带</w:t>
            </w:r>
          </w:p>
        </w:tc>
        <w:tc>
          <w:tcPr>
            <w:tcW w:w="9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B0D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RWM0000000000000000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CD4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天津发展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C71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1552.00 </w:t>
            </w:r>
          </w:p>
        </w:tc>
        <w:tc>
          <w:tcPr>
            <w:tcW w:w="10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61E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1143.00 </w:t>
            </w:r>
          </w:p>
        </w:tc>
      </w:tr>
      <w:tr w14:paraId="72D3E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E97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废焊带汇流带</w:t>
            </w:r>
          </w:p>
        </w:tc>
        <w:tc>
          <w:tcPr>
            <w:tcW w:w="9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C9D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RWM0000000000000000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765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蠡县发展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FD1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5444.00 </w:t>
            </w:r>
          </w:p>
        </w:tc>
        <w:tc>
          <w:tcPr>
            <w:tcW w:w="10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B45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4157.50 </w:t>
            </w:r>
          </w:p>
        </w:tc>
      </w:tr>
      <w:tr w14:paraId="2B55BF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681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废焊带汇流带</w:t>
            </w:r>
          </w:p>
        </w:tc>
        <w:tc>
          <w:tcPr>
            <w:tcW w:w="9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29B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RWM0000000000000000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B90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英利发展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D02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606.50 </w:t>
            </w:r>
          </w:p>
        </w:tc>
        <w:tc>
          <w:tcPr>
            <w:tcW w:w="10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CB4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383.50 </w:t>
            </w:r>
          </w:p>
        </w:tc>
      </w:tr>
      <w:tr w14:paraId="008EBF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1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F511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6F69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357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8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5FB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10362.25 </w:t>
            </w:r>
          </w:p>
        </w:tc>
        <w:tc>
          <w:tcPr>
            <w:tcW w:w="10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35C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8067.50 </w:t>
            </w:r>
          </w:p>
        </w:tc>
      </w:tr>
      <w:bookmarkEnd w:id="1"/>
    </w:tbl>
    <w:p w14:paraId="2CE8D74E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right="0" w:rightChars="0"/>
        <w:jc w:val="left"/>
        <w:textAlignment w:val="auto"/>
        <w:outlineLvl w:val="9"/>
        <w:rPr>
          <w:rFonts w:hint="eastAsia" w:ascii="宋体" w:hAnsi="宋体" w:eastAsia="宋体" w:cs="宋体"/>
          <w:b w:val="0"/>
          <w:bCs/>
          <w:snapToGrid w:val="0"/>
          <w:kern w:val="0"/>
          <w:sz w:val="21"/>
          <w:szCs w:val="21"/>
          <w:lang w:val="en-US" w:eastAsia="zh-CN"/>
        </w:rPr>
      </w:pPr>
    </w:p>
    <w:p w14:paraId="7D4E12F4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right="0" w:rightChars="0"/>
        <w:jc w:val="left"/>
        <w:textAlignment w:val="auto"/>
        <w:outlineLvl w:val="9"/>
        <w:rPr>
          <w:rFonts w:hint="eastAsia" w:ascii="宋体" w:hAnsi="宋体" w:eastAsia="宋体" w:cs="宋体"/>
          <w:b w:val="0"/>
          <w:bCs/>
          <w:color w:val="00000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 w:val="0"/>
          <w:bCs/>
          <w:snapToGrid w:val="0"/>
          <w:kern w:val="0"/>
          <w:sz w:val="21"/>
          <w:szCs w:val="21"/>
          <w:lang w:val="en-US" w:eastAsia="zh-CN"/>
        </w:rPr>
        <w:t>备注：</w:t>
      </w:r>
    </w:p>
    <w:p w14:paraId="2AF8E56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left"/>
        <w:textAlignment w:val="auto"/>
        <w:outlineLvl w:val="9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1、中标方需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提供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盖公章</w:t>
      </w:r>
      <w:r>
        <w:rPr>
          <w:rFonts w:hint="eastAsia" w:ascii="宋体" w:hAnsi="宋体" w:eastAsia="宋体" w:cs="宋体"/>
          <w:b w:val="0"/>
          <w:bCs/>
          <w:sz w:val="21"/>
          <w:szCs w:val="21"/>
          <w:highlight w:val="none"/>
          <w:lang w:eastAsia="zh-CN"/>
        </w:rPr>
        <w:t>报价单</w:t>
      </w:r>
      <w:r>
        <w:rPr>
          <w:rFonts w:hint="eastAsia" w:ascii="宋体" w:hAnsi="宋体" w:eastAsia="宋体" w:cs="宋体"/>
          <w:b w:val="0"/>
          <w:bCs/>
          <w:sz w:val="21"/>
          <w:szCs w:val="21"/>
          <w:highlight w:val="none"/>
          <w:lang w:val="en-US" w:eastAsia="zh-CN"/>
        </w:rPr>
        <w:t>一</w:t>
      </w:r>
      <w:r>
        <w:rPr>
          <w:rFonts w:hint="eastAsia" w:ascii="宋体" w:hAnsi="宋体" w:eastAsia="宋体" w:cs="宋体"/>
          <w:b w:val="0"/>
          <w:bCs/>
          <w:sz w:val="21"/>
          <w:szCs w:val="21"/>
          <w:highlight w:val="none"/>
        </w:rPr>
        <w:t>份</w:t>
      </w:r>
      <w:r>
        <w:rPr>
          <w:rFonts w:hint="eastAsia" w:ascii="宋体" w:hAnsi="宋体" w:eastAsia="宋体" w:cs="宋体"/>
          <w:b w:val="0"/>
          <w:bCs/>
          <w:sz w:val="21"/>
          <w:szCs w:val="21"/>
          <w:highlight w:val="none"/>
          <w:lang w:eastAsia="zh-CN"/>
        </w:rPr>
        <w:t>；</w:t>
      </w:r>
    </w:p>
    <w:p w14:paraId="06D4D5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left"/>
        <w:textAlignment w:val="auto"/>
        <w:outlineLvl w:val="9"/>
        <w:rPr>
          <w:rFonts w:hint="eastAsia" w:ascii="宋体" w:hAnsi="宋体" w:eastAsia="宋体" w:cs="宋体"/>
          <w:b w:val="0"/>
          <w:bCs/>
          <w:kern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2、投标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报价：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含13%增值税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；</w:t>
      </w:r>
    </w:p>
    <w:p w14:paraId="2A4E0C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textAlignment w:val="auto"/>
        <w:outlineLvl w:val="9"/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3、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付款方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式：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100%款到发货，物料所属基地工厂自提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；（只接受电汇）</w:t>
      </w:r>
    </w:p>
    <w:p w14:paraId="4CB64F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textAlignment w:val="auto"/>
        <w:outlineLvl w:val="9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4、重    量：合同签订重量以我方实际称重为准；</w:t>
      </w:r>
    </w:p>
    <w:p w14:paraId="55D025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textAlignment w:val="auto"/>
        <w:outlineLvl w:val="9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5、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运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输：买方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zh-CN" w:eastAsia="zh-CN"/>
        </w:rPr>
        <w:t>自行负责运输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；</w:t>
      </w:r>
    </w:p>
    <w:p w14:paraId="53350C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textAlignment w:val="auto"/>
        <w:outlineLvl w:val="9"/>
        <w:rPr>
          <w:rFonts w:hint="eastAsia" w:ascii="宋体" w:hAnsi="宋体"/>
          <w:b/>
          <w:snapToGrid w:val="0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6、售    后：本批次处置物资不接受退货和调换，卖方不承担质保。</w:t>
      </w:r>
    </w:p>
    <w:p w14:paraId="7783CBD4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78218C5"/>
    <w:multiLevelType w:val="multilevel"/>
    <w:tmpl w:val="478218C5"/>
    <w:lvl w:ilvl="0" w:tentative="0">
      <w:start w:val="1"/>
      <w:numFmt w:val="decimal"/>
      <w:pStyle w:val="2"/>
      <w:isLgl/>
      <w:suff w:val="space"/>
      <w:lvlText w:val="%1."/>
      <w:lvlJc w:val="left"/>
      <w:pPr>
        <w:ind w:left="425" w:hanging="425"/>
      </w:pPr>
      <w:rPr>
        <w:rFonts w:hint="eastAsia"/>
        <w:b/>
        <w:i w:val="0"/>
        <w:spacing w:val="0"/>
        <w:w w:val="100"/>
        <w:position w:val="0"/>
        <w:sz w:val="36"/>
        <w:szCs w:val="36"/>
      </w:rPr>
    </w:lvl>
    <w:lvl w:ilvl="1" w:tentative="0">
      <w:start w:val="1"/>
      <w:numFmt w:val="decimal"/>
      <w:isLgl/>
      <w:suff w:val="space"/>
      <w:lvlText w:val="%1.%2."/>
      <w:lvlJc w:val="left"/>
      <w:pPr>
        <w:ind w:left="567" w:hanging="567"/>
      </w:pPr>
      <w:rPr>
        <w:rFonts w:hint="eastAsia" w:ascii="Arial" w:hAnsi="Arial" w:eastAsia="黑体"/>
        <w:b/>
        <w:bCs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32"/>
        <w:u w:val="none"/>
        <w:shd w:val="clear" w:color="auto" w:fill="auto"/>
      </w:rPr>
    </w:lvl>
    <w:lvl w:ilvl="2" w:tentative="0">
      <w:start w:val="1"/>
      <w:numFmt w:val="decimal"/>
      <w:isLgl/>
      <w:suff w:val="space"/>
      <w:lvlText w:val="%1.%2.%3."/>
      <w:lvlJc w:val="left"/>
      <w:pPr>
        <w:ind w:left="709" w:hanging="709"/>
      </w:pPr>
      <w:rPr>
        <w:rFonts w:hint="eastAsia"/>
        <w:b/>
        <w:i w:val="0"/>
        <w:spacing w:val="0"/>
        <w:w w:val="100"/>
        <w:position w:val="0"/>
      </w:rPr>
    </w:lvl>
    <w:lvl w:ilvl="3" w:tentative="0">
      <w:start w:val="1"/>
      <w:numFmt w:val="decimal"/>
      <w:isLgl/>
      <w:suff w:val="space"/>
      <w:lvlText w:val="%1.%2.%3.%4."/>
      <w:lvlJc w:val="left"/>
      <w:pPr>
        <w:ind w:left="851" w:hanging="851"/>
      </w:pPr>
      <w:rPr>
        <w:rFonts w:hint="eastAsia"/>
        <w:b/>
        <w:i w:val="0"/>
        <w:spacing w:val="0"/>
        <w:w w:val="100"/>
        <w:position w:val="0"/>
      </w:rPr>
    </w:lvl>
    <w:lvl w:ilvl="4" w:tentative="0">
      <w:start w:val="1"/>
      <w:numFmt w:val="decimal"/>
      <w:isLgl/>
      <w:suff w:val="space"/>
      <w:lvlText w:val="%1.%2.%3.%4.%5."/>
      <w:lvlJc w:val="left"/>
      <w:pPr>
        <w:ind w:left="992" w:hanging="992"/>
      </w:pPr>
      <w:rPr>
        <w:rFonts w:hint="eastAsia"/>
        <w:b/>
        <w:i w:val="0"/>
        <w:spacing w:val="0"/>
        <w:w w:val="100"/>
        <w:position w:val="0"/>
      </w:rPr>
    </w:lvl>
    <w:lvl w:ilvl="5" w:tentative="0">
      <w:start w:val="1"/>
      <w:numFmt w:val="decimal"/>
      <w:isLgl/>
      <w:suff w:val="space"/>
      <w:lvlText w:val="%1.%2.%3.%4.%5.%6."/>
      <w:lvlJc w:val="left"/>
      <w:pPr>
        <w:ind w:left="1134" w:hanging="1134"/>
      </w:pPr>
      <w:rPr>
        <w:rFonts w:hint="default" w:ascii="Times New Roman" w:hAnsi="Times New Roman"/>
        <w:b/>
        <w:i w:val="0"/>
        <w:spacing w:val="0"/>
        <w:w w:val="100"/>
        <w:position w:val="0"/>
        <w:sz w:val="28"/>
      </w:rPr>
    </w:lvl>
    <w:lvl w:ilvl="6" w:tentative="0">
      <w:start w:val="1"/>
      <w:numFmt w:val="bullet"/>
      <w:suff w:val="space"/>
      <w:lvlText w:val=""/>
      <w:lvlJc w:val="left"/>
      <w:pPr>
        <w:ind w:left="1276" w:hanging="1276"/>
      </w:pPr>
      <w:rPr>
        <w:rFonts w:hint="default" w:ascii="Symbol" w:hAnsi="Symbol"/>
        <w:spacing w:val="0"/>
        <w:w w:val="100"/>
        <w:position w:val="0"/>
        <w:sz w:val="21"/>
      </w:rPr>
    </w:lvl>
    <w:lvl w:ilvl="7" w:tentative="0">
      <w:start w:val="1"/>
      <w:numFmt w:val="bullet"/>
      <w:suff w:val="space"/>
      <w:lvlText w:val=""/>
      <w:lvlJc w:val="left"/>
      <w:pPr>
        <w:ind w:left="1418" w:hanging="1418"/>
      </w:pPr>
      <w:rPr>
        <w:rFonts w:hint="default" w:ascii="Symbol" w:hAnsi="Symbol"/>
        <w:sz w:val="21"/>
      </w:rPr>
    </w:lvl>
    <w:lvl w:ilvl="8" w:tentative="0">
      <w:start w:val="1"/>
      <w:numFmt w:val="bullet"/>
      <w:suff w:val="space"/>
      <w:lvlText w:val=""/>
      <w:lvlJc w:val="left"/>
      <w:pPr>
        <w:ind w:left="1559" w:hanging="1559"/>
      </w:pPr>
      <w:rPr>
        <w:rFonts w:hint="default" w:ascii="Symbol" w:hAnsi="Symbol"/>
        <w:sz w:val="21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ECA6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0"/>
    <w:pPr>
      <w:keepNext/>
      <w:keepLines/>
      <w:numPr>
        <w:ilvl w:val="0"/>
        <w:numId w:val="1"/>
      </w:numPr>
      <w:spacing w:before="340" w:beforeLines="0" w:after="330" w:afterLines="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uiPriority w:val="0"/>
    <w:rPr>
      <w:sz w:val="28"/>
    </w:rPr>
  </w:style>
  <w:style w:type="paragraph" w:styleId="4">
    <w:name w:val="Body Text 2"/>
    <w:basedOn w:val="1"/>
    <w:uiPriority w:val="0"/>
    <w:pPr>
      <w:spacing w:line="360" w:lineRule="auto"/>
    </w:pPr>
    <w:rPr>
      <w:rFonts w:ascii="宋体"/>
      <w:sz w:val="24"/>
    </w:r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character" w:customStyle="1" w:styleId="9">
    <w:name w:val="标题 1 Char"/>
    <w:link w:val="2"/>
    <w:uiPriority w:val="0"/>
    <w:rPr>
      <w:b/>
      <w:bCs/>
      <w:kern w:val="44"/>
      <w:sz w:val="44"/>
      <w:szCs w:val="44"/>
    </w:rPr>
  </w:style>
  <w:style w:type="paragraph" w:customStyle="1" w:styleId="10">
    <w:name w:val="Normal_2"/>
    <w:qFormat/>
    <w:uiPriority w:val="0"/>
    <w:pPr>
      <w:spacing w:before="120" w:after="240"/>
      <w:jc w:val="both"/>
    </w:pPr>
    <w:rPr>
      <w:rFonts w:ascii="Times New Roman" w:hAnsi="Times New Roman" w:eastAsia="Times New Roman" w:cs="Times New Roman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2026-09-11T00:29:15Z</dcterms:created>
  <dc:creator>YL</dc:creator>
  <cp:lastModifiedBy>风影</cp:lastModifiedBy>
  <dcterms:modified xsi:type="dcterms:W3CDTF">2026-09-11T00:31:24Z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eyJoZGlkIjoiZjZmMjI5ZjRjMmM3ZjY2MTFhY2QzMGI0N2Q4MDhjZWIiLCJ1c2VySWQiOiIyNjUzMDA3NzMifQ==</vt:lpwstr>
  </property>
  <property fmtid="{D5CDD505-2E9C-101B-9397-08002B2CF9AE}" pid="4" name="ICV">
    <vt:lpwstr>653AB51AF8F84479AEDA97194464A226_12</vt:lpwstr>
  </property>
</Properties>
</file>